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F4" w:rsidRPr="008E32D6" w:rsidRDefault="00717736" w:rsidP="00093074">
      <w:pPr>
        <w:spacing w:after="0" w:line="360" w:lineRule="auto"/>
        <w:jc w:val="center"/>
        <w:rPr>
          <w:rFonts w:ascii="Times New Roman" w:hAnsi="Times New Roman" w:cs="Times New Roman"/>
          <w:sz w:val="32"/>
          <w:szCs w:val="32"/>
        </w:rPr>
      </w:pPr>
      <w:bookmarkStart w:id="0" w:name="_GoBack"/>
      <w:r w:rsidRPr="008E32D6">
        <w:rPr>
          <w:rFonts w:ascii="Times New Roman" w:hAnsi="Times New Roman" w:cs="Times New Roman"/>
          <w:sz w:val="32"/>
          <w:szCs w:val="32"/>
        </w:rPr>
        <w:t>Государственное юридическое бюро разъясняет</w:t>
      </w:r>
    </w:p>
    <w:bookmarkEnd w:id="0"/>
    <w:p w:rsidR="00093074" w:rsidRPr="00830E61" w:rsidRDefault="00093074" w:rsidP="00093074">
      <w:pPr>
        <w:spacing w:after="0" w:line="360" w:lineRule="auto"/>
        <w:jc w:val="center"/>
        <w:rPr>
          <w:rFonts w:ascii="Times New Roman" w:hAnsi="Times New Roman" w:cs="Times New Roman"/>
          <w:b/>
        </w:rPr>
      </w:pPr>
    </w:p>
    <w:p w:rsidR="00B17603" w:rsidRPr="00B17603" w:rsidRDefault="00B17603" w:rsidP="00093074">
      <w:pPr>
        <w:spacing w:after="0" w:line="360" w:lineRule="auto"/>
        <w:ind w:firstLine="709"/>
        <w:jc w:val="both"/>
        <w:rPr>
          <w:rFonts w:ascii="Times New Roman" w:hAnsi="Times New Roman" w:cs="Times New Roman"/>
          <w:b/>
          <w:sz w:val="28"/>
          <w:szCs w:val="28"/>
        </w:rPr>
      </w:pPr>
      <w:r w:rsidRPr="00B17603">
        <w:rPr>
          <w:rFonts w:ascii="Times New Roman" w:hAnsi="Times New Roman" w:cs="Times New Roman"/>
          <w:b/>
          <w:sz w:val="28"/>
          <w:szCs w:val="28"/>
        </w:rPr>
        <w:t>1.</w:t>
      </w:r>
      <w:r>
        <w:rPr>
          <w:rFonts w:ascii="Times New Roman" w:hAnsi="Times New Roman" w:cs="Times New Roman"/>
          <w:b/>
          <w:sz w:val="28"/>
          <w:szCs w:val="28"/>
        </w:rPr>
        <w:t xml:space="preserve"> </w:t>
      </w:r>
      <w:r w:rsidRPr="00B17603">
        <w:rPr>
          <w:rFonts w:ascii="Times New Roman" w:hAnsi="Times New Roman" w:cs="Times New Roman"/>
          <w:b/>
          <w:sz w:val="28"/>
          <w:szCs w:val="28"/>
        </w:rPr>
        <w:t>Вопрос: Я обратился в Госюрбюро по вопросу расторжения брака и раздела имущества, однако мне было отказано в оказании бесплатной юридической помощи по причине, что данный вопрос не относится к случаям, предусмотренным законодательством об оказании бесплатной юридической помощи. Посоветуйте мне юриста или адвоката, который бы оказал мне качественную юридическую помощь.</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Ответ: Это часто задаваемый гражданами вопрос. Тем не менее, Государственное юридическое бюро не осуществляет рекламу платных юридических услуг, а также не ведет учет граждан и организаций, которые некачественно оказывают юридическую помощь, поэтому не имеет возможности рекомендовать какую-то конкретную организацию или юриста (адвоката).</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Но можно выделить несколько общих рекомендаций, основанных на опыте:</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 до того, как решите поручить вести свое дело кому-либо (выдаете доверенность действовать от своего имени, заключаете договор на оказание юридических услуг, соглашение с адвокатом), необходимо собрать как можно больше информации об этом лице (как непосредственно от него, так и из общедоступных источников), прежде всего, изучив опыт работы (например, количество и качество судебных актов, принятых по делам, которые вел соответствующий юрист (юридическая фирма));</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 если не уверены и сомневаетесь, но находитесь в безвыходной ситуации, в любом случае не следует давать доверенность на совершение от Вашего имени действий, которые могут фактически лишить возможности требовать пересмотра дела, если Вас не устроит результат. К таким действиям относятся, в частности, признание иска, отказ от иска, заключение мирового соглашения, получение исполнения по судебному акту;</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 xml:space="preserve">- для того, чтобы юрист мог оказать качественную юридическую услугу, Вы должны максимально полно сообщить ему обо всех </w:t>
      </w:r>
      <w:r w:rsidRPr="00B17603">
        <w:rPr>
          <w:rFonts w:ascii="Times New Roman" w:hAnsi="Times New Roman" w:cs="Times New Roman"/>
          <w:sz w:val="28"/>
          <w:szCs w:val="28"/>
        </w:rPr>
        <w:lastRenderedPageBreak/>
        <w:t>обстоятельствах, относящихся к делу. Умышленное или неумышленное утаивание информации может существенно сказаться на результате, а также затянуть сроки разрешения дела.</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Если видите, что Вашего юриста не интересуют обстоятельства, которые, по Вашему мнению, очень важны, то целесообразно обсудить этот вопрос с Вашим юристом и, в случае необходимости, расторгнуть договор на оказание услуг, поскольку при оказании юридических услуг доверие и понимание между клиентом и юристом является основой для успешного разрешения дела.</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Также следует документально оформлять ваши отношения с юристом, особенно когда Вы передаете какие-либо денежные средства. Необходимо в договоре на оказание юридических услуг как можно более точно определять, какие услуги должны быть оказаны (время, место, инстанция и другие важные обстоятельства).</w:t>
      </w:r>
    </w:p>
    <w:p w:rsidR="00B17603" w:rsidRPr="00B17603" w:rsidRDefault="00B17603" w:rsidP="00B1760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Pr="00B17603">
        <w:rPr>
          <w:rFonts w:ascii="Times New Roman" w:hAnsi="Times New Roman" w:cs="Times New Roman"/>
          <w:b/>
          <w:sz w:val="28"/>
          <w:szCs w:val="28"/>
        </w:rPr>
        <w:t>Вопрос: Я живу в Вуктыле. Являюсь пенсионером, полгода назад устроился на работу. Собираюсь в отпуск в Турцию. Если я обращусь в Пенсионный фонд, мне оплатят проезд к месту отдыха и обратно?</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Ответ: Поскольку Вы являетесь работающим пенсионером, то компенсация расходов на оплату стоимости проезда к месту отдыха и обратно осуществляется за счет работодателя. То есть в случае, если работающий пенсионер подаст заявление о компенсации и необходимые документы в Пенсионный фонд, он получит отказ.</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В законодательстве отсутствует прямое указание на порядок выплаты компенсации гражданам, осуществляющим отдых за пределами Российской Федерации, однако это не может рассматриваться как запрет на получение компенсации стоимости проезда в пределах территории Российской Федерации.</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Тем не менее, законодатель связывает оплату проезда к месту отдыха и обратно не с местом проведения такого отдыха (на территории Российской Федерации), а с проездом по территории Российской Федерации.</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lastRenderedPageBreak/>
        <w:t>Таким образом, право на компенсацию стоимости расходов на оплату проезда к месту отдыха и обратно не может быть поставлено в зависимость от выбранного места отдыха.</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Пенсионеры, отдыхающие заграницей, также могут получить компенсацию расходов на оплату проезда к месту отдыха и обратно, однако возмещению будет подлежать только та часть стоимости билетов, которая соразмерна части территории России, которую пенсионер преодолел от места выезда (вылета) до границы Российской Федерации по маршруту следования к месту отдыха.</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Отказ в компенсации расходов в связи с отдыхом заграницей можно обжаловать в судебном порядке.</w:t>
      </w:r>
    </w:p>
    <w:p w:rsidR="00B17603" w:rsidRPr="00B17603" w:rsidRDefault="00B17603" w:rsidP="00B1760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Pr="00B17603">
        <w:rPr>
          <w:rFonts w:ascii="Times New Roman" w:hAnsi="Times New Roman" w:cs="Times New Roman"/>
          <w:b/>
          <w:sz w:val="28"/>
          <w:szCs w:val="28"/>
        </w:rPr>
        <w:t xml:space="preserve">Вопрос: Я проживала вместе с матерью в своем доме, она умерла 2 года назад. Решила продать дом, в администрации сельского поселения мне сказали, что нужно оформить наследство, так как дом принадлежал матери, но я поздно обратилась для оформления наследства. Что мне делать? </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Ответ: Согласно Гражданскому кодексу Российской Федерации наследство может быть принято в течение шести месяцев со дня открытия наследства (со дня смерти наследодателя).</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 xml:space="preserve">Поскольку Вами срок принятия наследства пропущен, необходимо обратиться в суд с заявлением об установлении юридического факта принятия наследства и представить суду доказательства, что после смерти матери Вы продолжали пользоваться домом, то есть фактически приняли данное наследство (проживали в доме, оплачивали счета за жилищно-коммунальные услуги, делали в доме ремонт и т.п.). После вынесения судом решения об установлении факта принятия наследства и вступления его в законную силу необходимо обратиться в Управление Росреестра по Республике Коми через многофункциональный центр для регистрации права собственности на дом, предоставив решение суда. </w:t>
      </w:r>
    </w:p>
    <w:p w:rsidR="00B17603" w:rsidRPr="00B17603" w:rsidRDefault="00B17603" w:rsidP="00B1760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B17603">
        <w:rPr>
          <w:rFonts w:ascii="Times New Roman" w:hAnsi="Times New Roman" w:cs="Times New Roman"/>
          <w:b/>
          <w:sz w:val="28"/>
          <w:szCs w:val="28"/>
        </w:rPr>
        <w:t>Вопрос: У мужа от первого брака есть ребенок, на которого он платит алименты. У нас родился ребенок. Могу ли я подать заявление на взыскание алиментов, находясь в браке, чтобы уменьшить размер алиментов на ребенка мужа от первого брака? Как снизить размер алиментов?</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Ответ: В соответствии с Семейным кодексом Российской Федерации (далее – СК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Родители вправе заключить соглашение о содержании своих несовершеннолетних детей (соглашение об уплате алиментов) в соответствии с главой 16 СК РФ.</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Согласно СК РФ, если родители не предоставляют содержание своим несовершеннолетним детям, соглашение об уплате алиментов не заключено, члены семьи, в том числе супруга, вправе обратиться в суд с требованием о взыскании алиментов. Нахождение в браке не препятствует такому обращению.</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Таким образом, обратиться в суд с заявлением о взыскании алиментов Вы вправе, но это не повлечет автоматическое снижение размера алиментов на первого ребенка Вашего супруга.</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Согласно пункту 1 статьи 119 СК РФ,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 xml:space="preserve">Требование об изменении размера алиментов либо об освобождении от их уплаты может быть предъявлено как лицом, обязанным уплачивать </w:t>
      </w:r>
      <w:r w:rsidRPr="00B17603">
        <w:rPr>
          <w:rFonts w:ascii="Times New Roman" w:hAnsi="Times New Roman" w:cs="Times New Roman"/>
          <w:sz w:val="28"/>
          <w:szCs w:val="28"/>
        </w:rPr>
        <w:lastRenderedPageBreak/>
        <w:t>алименты, так и получателем алиментов в случае изменения материального или семейного положения любой из сторон (постановление Пленума Верховного Суда РФ от 26.12.2017 № 56 «О применении судами законодательства при рассмотрении дел, связанных со взысканием алиментов»).</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В случае если Ваш супруг обратится с заявлением в суд о снижении размера алиментов, то необходимо предоставить суду доказательства изменения его материального положения и невозможности уплачивать алименты в прежнем размере.</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При разрешении требования родителя, уплачивающего алименты на несовершеннолетнего ребенка, о снижении размера алиментов следует иметь в виду, что изменение материального или семейного положения данного родителя не является безусловным основанием для удовлетворения его иска, поскольку необходимо установить, что такие изменения не позволяют ему поддерживать выплату алиментов в прежнем размере.</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Суд принимает во внимание все заслуживающие внимания обстоятельства или интересы сторон:</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 все виды доходов плательщика алиментов (заработная плата, доходы от предпринимательской деятельности, от использования результатов интеллектуальной деятельности, пенсии, пособия, выплаты в счет возмещения вреда здоровью и другие выплаты), а также любое принадлежащее ему имущество (в том числе ценные бумаги, паи, вклады, внесенные в кредитные организации, доли в уставном капитале общества с ограниченной ответственностью);</w:t>
      </w:r>
    </w:p>
    <w:p w:rsidR="00B17603" w:rsidRPr="00B17603" w:rsidRDefault="00B17603" w:rsidP="00B17603">
      <w:pPr>
        <w:spacing w:after="0" w:line="360" w:lineRule="auto"/>
        <w:ind w:firstLine="709"/>
        <w:jc w:val="both"/>
        <w:rPr>
          <w:rFonts w:ascii="Times New Roman" w:hAnsi="Times New Roman" w:cs="Times New Roman"/>
          <w:sz w:val="28"/>
          <w:szCs w:val="28"/>
        </w:rPr>
      </w:pPr>
      <w:r w:rsidRPr="00B17603">
        <w:rPr>
          <w:rFonts w:ascii="Times New Roman" w:hAnsi="Times New Roman" w:cs="Times New Roman"/>
          <w:sz w:val="28"/>
          <w:szCs w:val="28"/>
        </w:rPr>
        <w:t>- имеются ли у плательщика алиментов другие несовершеннолетние или нетрудоспособные совершеннолетние дети либо иные лица, которых он обязан по закону содержать;</w:t>
      </w:r>
    </w:p>
    <w:p w:rsidR="00B17603" w:rsidRDefault="00B17603" w:rsidP="00AC6A29">
      <w:pPr>
        <w:spacing w:after="0" w:line="360" w:lineRule="auto"/>
        <w:ind w:firstLine="709"/>
        <w:jc w:val="both"/>
        <w:rPr>
          <w:rFonts w:ascii="Times New Roman" w:hAnsi="Times New Roman" w:cs="Times New Roman"/>
          <w:b/>
          <w:sz w:val="28"/>
          <w:szCs w:val="28"/>
        </w:rPr>
      </w:pPr>
      <w:r w:rsidRPr="00B17603">
        <w:rPr>
          <w:rFonts w:ascii="Times New Roman" w:hAnsi="Times New Roman" w:cs="Times New Roman"/>
          <w:sz w:val="28"/>
          <w:szCs w:val="28"/>
        </w:rPr>
        <w:t>- нетрудоспособность плательщика алиментов, восстановление трудоспособности получателя алиментов.</w:t>
      </w:r>
    </w:p>
    <w:sectPr w:rsidR="00B17603" w:rsidSect="00830E61">
      <w:headerReference w:type="default" r:id="rId8"/>
      <w:pgSz w:w="11906" w:h="16838"/>
      <w:pgMar w:top="1021" w:right="79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B06" w:rsidRDefault="00022B06" w:rsidP="00C6280D">
      <w:pPr>
        <w:spacing w:after="0" w:line="240" w:lineRule="auto"/>
      </w:pPr>
      <w:r>
        <w:separator/>
      </w:r>
    </w:p>
  </w:endnote>
  <w:endnote w:type="continuationSeparator" w:id="0">
    <w:p w:rsidR="00022B06" w:rsidRDefault="00022B06" w:rsidP="00C6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B06" w:rsidRDefault="00022B06" w:rsidP="00C6280D">
      <w:pPr>
        <w:spacing w:after="0" w:line="240" w:lineRule="auto"/>
      </w:pPr>
      <w:r>
        <w:separator/>
      </w:r>
    </w:p>
  </w:footnote>
  <w:footnote w:type="continuationSeparator" w:id="0">
    <w:p w:rsidR="00022B06" w:rsidRDefault="00022B06" w:rsidP="00C6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170380"/>
      <w:docPartObj>
        <w:docPartGallery w:val="Page Numbers (Top of Page)"/>
        <w:docPartUnique/>
      </w:docPartObj>
    </w:sdtPr>
    <w:sdtEndPr/>
    <w:sdtContent>
      <w:p w:rsidR="00C6280D" w:rsidRDefault="00C6280D">
        <w:pPr>
          <w:pStyle w:val="a6"/>
          <w:jc w:val="right"/>
        </w:pPr>
        <w:r>
          <w:fldChar w:fldCharType="begin"/>
        </w:r>
        <w:r>
          <w:instrText>PAGE   \* MERGEFORMAT</w:instrText>
        </w:r>
        <w:r>
          <w:fldChar w:fldCharType="separate"/>
        </w:r>
        <w:r w:rsidR="008E32D6">
          <w:rPr>
            <w:noProof/>
          </w:rPr>
          <w:t>3</w:t>
        </w:r>
        <w:r>
          <w:fldChar w:fldCharType="end"/>
        </w:r>
      </w:p>
    </w:sdtContent>
  </w:sdt>
  <w:p w:rsidR="00C6280D" w:rsidRDefault="00C628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35D7B"/>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971779"/>
    <w:multiLevelType w:val="hybridMultilevel"/>
    <w:tmpl w:val="C6EA8004"/>
    <w:lvl w:ilvl="0" w:tplc="E74E1F3C">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880B8C"/>
    <w:multiLevelType w:val="hybridMultilevel"/>
    <w:tmpl w:val="D7347C32"/>
    <w:lvl w:ilvl="0" w:tplc="DEFA9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94D5156"/>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3CF7FFB"/>
    <w:multiLevelType w:val="hybridMultilevel"/>
    <w:tmpl w:val="EC64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7D22B0"/>
    <w:multiLevelType w:val="hybridMultilevel"/>
    <w:tmpl w:val="377ACAFE"/>
    <w:lvl w:ilvl="0" w:tplc="C6B81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6BE1D08"/>
    <w:multiLevelType w:val="hybridMultilevel"/>
    <w:tmpl w:val="9230A440"/>
    <w:lvl w:ilvl="0" w:tplc="BDA2A0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520F25"/>
    <w:multiLevelType w:val="hybridMultilevel"/>
    <w:tmpl w:val="E6D078AC"/>
    <w:lvl w:ilvl="0" w:tplc="F4644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F3"/>
    <w:rsid w:val="000010BA"/>
    <w:rsid w:val="00002AE3"/>
    <w:rsid w:val="00022B06"/>
    <w:rsid w:val="00093074"/>
    <w:rsid w:val="000C5B0A"/>
    <w:rsid w:val="000D386A"/>
    <w:rsid w:val="000E5331"/>
    <w:rsid w:val="001506D2"/>
    <w:rsid w:val="001D0CB6"/>
    <w:rsid w:val="002253DB"/>
    <w:rsid w:val="0028489D"/>
    <w:rsid w:val="002901FF"/>
    <w:rsid w:val="002B5F64"/>
    <w:rsid w:val="00301289"/>
    <w:rsid w:val="00317E59"/>
    <w:rsid w:val="00343F0F"/>
    <w:rsid w:val="003A6B1D"/>
    <w:rsid w:val="004146B8"/>
    <w:rsid w:val="00444D2B"/>
    <w:rsid w:val="00463D53"/>
    <w:rsid w:val="004A4F3A"/>
    <w:rsid w:val="004D038E"/>
    <w:rsid w:val="0051609D"/>
    <w:rsid w:val="005863E2"/>
    <w:rsid w:val="00632639"/>
    <w:rsid w:val="00634D49"/>
    <w:rsid w:val="0069252D"/>
    <w:rsid w:val="006928DE"/>
    <w:rsid w:val="006F56A0"/>
    <w:rsid w:val="00717736"/>
    <w:rsid w:val="007353DC"/>
    <w:rsid w:val="00760C16"/>
    <w:rsid w:val="007F1A0F"/>
    <w:rsid w:val="00830E61"/>
    <w:rsid w:val="00883B0F"/>
    <w:rsid w:val="008E32D6"/>
    <w:rsid w:val="00945BB4"/>
    <w:rsid w:val="009677F5"/>
    <w:rsid w:val="009C1026"/>
    <w:rsid w:val="00A06320"/>
    <w:rsid w:val="00A36897"/>
    <w:rsid w:val="00A662F4"/>
    <w:rsid w:val="00A84EEB"/>
    <w:rsid w:val="00A912D3"/>
    <w:rsid w:val="00AC6A29"/>
    <w:rsid w:val="00AD26D0"/>
    <w:rsid w:val="00AF566B"/>
    <w:rsid w:val="00AF6226"/>
    <w:rsid w:val="00B17603"/>
    <w:rsid w:val="00C10353"/>
    <w:rsid w:val="00C106D1"/>
    <w:rsid w:val="00C6280D"/>
    <w:rsid w:val="00C84739"/>
    <w:rsid w:val="00C87411"/>
    <w:rsid w:val="00CB3521"/>
    <w:rsid w:val="00CE4BA0"/>
    <w:rsid w:val="00CE6DC9"/>
    <w:rsid w:val="00D732E4"/>
    <w:rsid w:val="00D755F3"/>
    <w:rsid w:val="00DF27AC"/>
    <w:rsid w:val="00E9568B"/>
    <w:rsid w:val="00F23244"/>
    <w:rsid w:val="00F26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EFF1A-8E1E-4C92-9661-2C12C4AA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 w:type="paragraph" w:styleId="aa">
    <w:name w:val="List Paragraph"/>
    <w:basedOn w:val="a"/>
    <w:uiPriority w:val="34"/>
    <w:qFormat/>
    <w:rsid w:val="00D7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464A-42C2-40FD-AFD7-1B027566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Анна Александровна</dc:creator>
  <cp:keywords/>
  <dc:description/>
  <cp:lastModifiedBy>RePack by Diakov</cp:lastModifiedBy>
  <cp:revision>37</cp:revision>
  <cp:lastPrinted>2021-08-11T08:03:00Z</cp:lastPrinted>
  <dcterms:created xsi:type="dcterms:W3CDTF">2020-09-09T08:21:00Z</dcterms:created>
  <dcterms:modified xsi:type="dcterms:W3CDTF">2021-09-10T06:42:00Z</dcterms:modified>
</cp:coreProperties>
</file>